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C64A82">
                <w:rPr>
                  <w:rFonts w:asciiTheme="majorHAnsi" w:hAnsiTheme="majorHAnsi"/>
                  <w:sz w:val="20"/>
                  <w:szCs w:val="20"/>
                </w:rPr>
                <w:t>SM24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2078873003" w:edGrp="everyone"/>
    <w:p w:rsidR="00AF3758" w:rsidRPr="00592A95" w:rsidRDefault="00E96D4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9DB">
            <w:rPr>
              <w:rFonts w:ascii="MS Gothic" w:eastAsia="MS Gothic" w:hAnsi="MS Gothic" w:hint="eastAsia"/>
            </w:rPr>
            <w:t>☒</w:t>
          </w:r>
        </w:sdtContent>
      </w:sdt>
      <w:permEnd w:id="2078873003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933715711" w:edGrp="everyone"/>
    <w:p w:rsidR="001F5E9E" w:rsidRPr="001F5E9E" w:rsidRDefault="00E96D4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93371571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96D4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70676176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70676176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928735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928735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96D44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11584337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1584337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911926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911926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96D4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7004205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0042052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64716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647160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E96D4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03647307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647307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4185140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41851405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96D4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1537629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376291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9746628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9746628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96D4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6125276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25276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92732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927326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96D4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4444221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4442216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205986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2059860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E96D4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066460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0664607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474085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4740855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E96D4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732925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32925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62574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625745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9A551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William Burns, </w:t>
          </w:r>
          <w:hyperlink r:id="rId9" w:history="1">
            <w:r w:rsidRPr="00B64EEC">
              <w:rPr>
                <w:rStyle w:val="Hyperlink"/>
                <w:rFonts w:asciiTheme="majorHAnsi" w:hAnsiTheme="majorHAnsi" w:cs="Arial"/>
                <w:sz w:val="20"/>
                <w:szCs w:val="20"/>
              </w:rPr>
              <w:t>wburns@astate.edu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870-972-2535</w:t>
          </w:r>
        </w:p>
      </w:sdtContent>
    </w:sdt>
    <w:p w:rsidR="009A5510" w:rsidRDefault="009A551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9A55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</w:t>
          </w:r>
          <w:r w:rsidR="00100FDE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C35D32">
            <w:rPr>
              <w:rFonts w:asciiTheme="majorHAnsi" w:hAnsiTheme="majorHAnsi" w:cs="Arial"/>
              <w:sz w:val="20"/>
              <w:szCs w:val="20"/>
            </w:rPr>
            <w:t xml:space="preserve">Department of Chemistry &amp; Physics </w:t>
          </w:r>
          <w:r w:rsidR="00100FDE">
            <w:rPr>
              <w:rFonts w:asciiTheme="majorHAnsi" w:hAnsiTheme="majorHAnsi" w:cs="Arial"/>
              <w:sz w:val="20"/>
              <w:szCs w:val="20"/>
            </w:rPr>
            <w:t>foreign language requirement.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9A55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0F36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On </w:t>
          </w:r>
          <w:r w:rsidR="00C35D32">
            <w:rPr>
              <w:rFonts w:asciiTheme="majorHAnsi" w:hAnsiTheme="majorHAnsi" w:cs="Arial"/>
              <w:sz w:val="20"/>
              <w:szCs w:val="20"/>
            </w:rPr>
            <w:t xml:space="preserve">September 23, </w:t>
          </w:r>
          <w:proofErr w:type="gramStart"/>
          <w:r w:rsidR="00C35D32">
            <w:rPr>
              <w:rFonts w:asciiTheme="majorHAnsi" w:hAnsiTheme="majorHAnsi" w:cs="Arial"/>
              <w:sz w:val="20"/>
              <w:szCs w:val="20"/>
            </w:rPr>
            <w:t xml:space="preserve">2015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35D32">
            <w:rPr>
              <w:rFonts w:asciiTheme="majorHAnsi" w:hAnsiTheme="majorHAnsi" w:cs="Arial"/>
              <w:sz w:val="20"/>
              <w:szCs w:val="20"/>
            </w:rPr>
            <w:t xml:space="preserve">College of Sciences &amp; Mathematics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Curriculum Committee discusse</w:t>
          </w:r>
          <w:r w:rsidR="00B93F23">
            <w:rPr>
              <w:rFonts w:asciiTheme="majorHAnsi" w:hAnsiTheme="majorHAnsi" w:cs="Arial"/>
              <w:sz w:val="20"/>
              <w:szCs w:val="20"/>
            </w:rPr>
            <w:t xml:space="preserve">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 </w:t>
          </w:r>
          <w:r w:rsidR="00B93F23">
            <w:rPr>
              <w:rFonts w:asciiTheme="majorHAnsi" w:hAnsiTheme="majorHAnsi" w:cs="Arial"/>
              <w:sz w:val="20"/>
              <w:szCs w:val="20"/>
            </w:rPr>
            <w:t>Bulletin Change Transmittal Form proposing the removal of the College of Sciences &amp; Mathematics</w:t>
          </w:r>
          <w:r w:rsidR="00CA6CDA">
            <w:rPr>
              <w:rFonts w:asciiTheme="majorHAnsi" w:hAnsiTheme="majorHAnsi" w:cs="Arial"/>
              <w:sz w:val="20"/>
              <w:szCs w:val="20"/>
            </w:rPr>
            <w:t xml:space="preserve"> foreign language requirement.  </w:t>
          </w:r>
          <w:proofErr w:type="gramStart"/>
          <w:r w:rsidR="00CA6CDA">
            <w:rPr>
              <w:rFonts w:asciiTheme="majorHAnsi" w:hAnsiTheme="majorHAnsi" w:cs="Arial"/>
              <w:sz w:val="20"/>
              <w:szCs w:val="20"/>
            </w:rPr>
            <w:t xml:space="preserve">The college curriculum </w:t>
          </w:r>
          <w:r w:rsidR="00CA6CDA" w:rsidRPr="00CA6CDA">
            <w:rPr>
              <w:rFonts w:asciiTheme="majorHAnsi" w:hAnsiTheme="majorHAnsi" w:cs="Arial"/>
              <w:sz w:val="20"/>
              <w:szCs w:val="20"/>
            </w:rPr>
            <w:t>committee</w:t>
          </w:r>
          <w:r w:rsidR="00CA6CDA">
            <w:rPr>
              <w:rFonts w:asciiTheme="majorHAnsi" w:hAnsiTheme="majorHAnsi" w:cs="Arial"/>
              <w:sz w:val="20"/>
              <w:szCs w:val="20"/>
            </w:rPr>
            <w:t>.</w:t>
          </w:r>
          <w:proofErr w:type="gramEnd"/>
          <w:r w:rsidR="00CA6CDA">
            <w:rPr>
              <w:rFonts w:asciiTheme="majorHAnsi" w:hAnsiTheme="majorHAnsi" w:cs="Arial"/>
              <w:sz w:val="20"/>
              <w:szCs w:val="20"/>
            </w:rPr>
            <w:t xml:space="preserve">  It appears the committee tentatively approved the proposal, but suggests individual departments prepare </w:t>
          </w:r>
          <w:r w:rsidR="00A27B50">
            <w:rPr>
              <w:rFonts w:asciiTheme="majorHAnsi" w:hAnsiTheme="majorHAnsi" w:cs="Arial"/>
              <w:sz w:val="20"/>
              <w:szCs w:val="20"/>
            </w:rPr>
            <w:t xml:space="preserve">appropriate documents indicating any department level foreign language requirements that would be proposed.  </w:t>
          </w:r>
          <w:r w:rsidR="00A27B50">
            <w:rPr>
              <w:rFonts w:asciiTheme="majorHAnsi" w:hAnsiTheme="majorHAnsi" w:cs="Arial"/>
              <w:sz w:val="20"/>
              <w:szCs w:val="20"/>
            </w:rPr>
            <w:lastRenderedPageBreak/>
            <w:t>Accordingly, th</w:t>
          </w:r>
          <w:r w:rsidR="008B5CD1">
            <w:rPr>
              <w:rFonts w:asciiTheme="majorHAnsi" w:hAnsiTheme="majorHAnsi" w:cs="Arial"/>
              <w:sz w:val="20"/>
              <w:szCs w:val="20"/>
            </w:rPr>
            <w:t>e Department of Chemistry &amp; Physics proposes the removal of all foreign language requirements for the BS Chemistry, BA Chemistry, and BS Physics degree programs.</w:t>
          </w:r>
          <w:r w:rsidR="00A27B50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b/>
        </w:rPr>
      </w:sdtEndPr>
      <w:sdtContent>
        <w:p w:rsidR="004E5007" w:rsidRPr="00AE066D" w:rsidRDefault="00762C7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AE066D">
            <w:rPr>
              <w:rFonts w:asciiTheme="majorHAnsi" w:hAnsiTheme="majorHAnsi" w:cs="Arial"/>
              <w:b/>
              <w:sz w:val="20"/>
              <w:szCs w:val="20"/>
            </w:rPr>
            <w:t xml:space="preserve">Page </w:t>
          </w:r>
          <w:proofErr w:type="gramStart"/>
          <w:r w:rsidR="00570DC7" w:rsidRPr="00AE066D">
            <w:rPr>
              <w:rFonts w:asciiTheme="majorHAnsi" w:hAnsiTheme="majorHAnsi" w:cs="Arial"/>
              <w:b/>
              <w:sz w:val="20"/>
              <w:szCs w:val="20"/>
            </w:rPr>
            <w:t>3</w:t>
          </w:r>
          <w:r w:rsidR="00CD2811" w:rsidRPr="00AE066D">
            <w:rPr>
              <w:rFonts w:asciiTheme="majorHAnsi" w:hAnsiTheme="majorHAnsi" w:cs="Arial"/>
              <w:b/>
              <w:sz w:val="20"/>
              <w:szCs w:val="20"/>
            </w:rPr>
            <w:t>71</w:t>
          </w:r>
          <w:r w:rsidR="00570DC7" w:rsidRPr="00AE066D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Pr="00AE066D">
            <w:rPr>
              <w:rFonts w:asciiTheme="majorHAnsi" w:hAnsiTheme="majorHAnsi" w:cs="Arial"/>
              <w:b/>
              <w:sz w:val="20"/>
              <w:szCs w:val="20"/>
            </w:rPr>
            <w:t xml:space="preserve"> 2015</w:t>
          </w:r>
          <w:proofErr w:type="gramEnd"/>
          <w:r w:rsidRPr="00AE066D">
            <w:rPr>
              <w:rFonts w:asciiTheme="majorHAnsi" w:hAnsiTheme="majorHAnsi" w:cs="Arial"/>
              <w:b/>
              <w:sz w:val="20"/>
              <w:szCs w:val="20"/>
            </w:rPr>
            <w:t>-2016 A-State Undergraduate Bulletin</w:t>
          </w:r>
        </w:p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CD2811" w:rsidRPr="00CD2811" w:rsidRDefault="00CD2811" w:rsidP="00CD2811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CD2811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Chemistry </w:t>
      </w:r>
    </w:p>
    <w:p w:rsidR="00CD2811" w:rsidRPr="00CD2811" w:rsidRDefault="00CD2811" w:rsidP="00CD2811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CD2811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</w:t>
      </w:r>
    </w:p>
    <w:p w:rsidR="00CD2811" w:rsidRPr="00CD2811" w:rsidRDefault="00CD2811" w:rsidP="00CD2811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CD2811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3002"/>
      </w:tblGrid>
      <w:tr w:rsidR="00CD2811" w:rsidRPr="00CD2811">
        <w:trPr>
          <w:trHeight w:val="111"/>
        </w:trPr>
        <w:tc>
          <w:tcPr>
            <w:tcW w:w="6003" w:type="dxa"/>
            <w:gridSpan w:val="2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CD2811" w:rsidRPr="00CD2811">
        <w:trPr>
          <w:trHeight w:val="79"/>
        </w:trPr>
        <w:tc>
          <w:tcPr>
            <w:tcW w:w="6003" w:type="dxa"/>
            <w:gridSpan w:val="2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PHSC 1003, Making Connections - Chemistry and Physics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512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83)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MATH 2204, Calculus I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CHEM 1013 </w:t>
            </w:r>
            <w:r w:rsidRPr="00CD2811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1011, General Chemistry I and Laboratory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BIO 2013 </w:t>
            </w:r>
            <w:r w:rsidRPr="00CD2811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2011, Biology of the Cell and Laboratory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Twelve hours of Social Sciences (Required Departmental Gen. Ed. Option)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36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CD2811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Language Requirement: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CD2811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Sem. Hrs. </w:t>
            </w:r>
          </w:p>
        </w:tc>
      </w:tr>
      <w:tr w:rsidR="00CD2811" w:rsidRPr="00CD2811">
        <w:trPr>
          <w:trHeight w:val="151"/>
        </w:trPr>
        <w:tc>
          <w:tcPr>
            <w:tcW w:w="6003" w:type="dxa"/>
            <w:gridSpan w:val="2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CD2811">
              <w:rPr>
                <w:rFonts w:ascii="Arial" w:hAnsi="Arial" w:cs="Arial"/>
                <w:i/>
                <w:iCs/>
                <w:strike/>
                <w:color w:val="FF0000"/>
                <w:sz w:val="28"/>
                <w:szCs w:val="28"/>
              </w:rPr>
              <w:t xml:space="preserve">A student must complete the foreign language requirements before being considered </w:t>
            </w:r>
            <w:proofErr w:type="gramStart"/>
            <w:r w:rsidRPr="00CD2811">
              <w:rPr>
                <w:rFonts w:ascii="Arial" w:hAnsi="Arial" w:cs="Arial"/>
                <w:i/>
                <w:iCs/>
                <w:strike/>
                <w:color w:val="FF0000"/>
                <w:sz w:val="28"/>
                <w:szCs w:val="28"/>
              </w:rPr>
              <w:t>a Chemistry</w:t>
            </w:r>
            <w:proofErr w:type="gramEnd"/>
            <w:r w:rsidRPr="00CD2811">
              <w:rPr>
                <w:rFonts w:ascii="Arial" w:hAnsi="Arial" w:cs="Arial"/>
                <w:i/>
                <w:iCs/>
                <w:strike/>
                <w:color w:val="FF0000"/>
                <w:sz w:val="28"/>
                <w:szCs w:val="28"/>
              </w:rPr>
              <w:t xml:space="preserve"> major. (Refer to p. 353 for foreign language requirements).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CHEM 1023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1021, General Chemistry II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2002, Computers in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2004, Descriptive Inorganic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3054, Quantitative Analysis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3103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3101, Organic Chemistry I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3113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3111, Organic Chemistry II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3124, Physical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3134, Physical Chemistry II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4204, Inorganic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4224, Instrumentation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4243, Biochemistry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427V, Research in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4281, Chemistry Seminar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2214, Calculus II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3254, Calculus III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2034, University Physics 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2044, University Physics II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61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Electives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20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120</w:t>
            </w:r>
          </w:p>
        </w:tc>
      </w:tr>
    </w:tbl>
    <w:p w:rsidR="00570DC7" w:rsidRDefault="00570DC7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8"/>
          <w:szCs w:val="28"/>
        </w:rPr>
      </w:pPr>
    </w:p>
    <w:p w:rsidR="00CD2811" w:rsidRDefault="00CD2811">
      <w:pPr>
        <w:rPr>
          <w:rFonts w:asciiTheme="majorHAnsi" w:hAnsiTheme="majorHAnsi" w:cs="Arial"/>
          <w:color w:val="FF0000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br w:type="page"/>
      </w:r>
    </w:p>
    <w:sdt>
      <w:sdtPr>
        <w:rPr>
          <w:rFonts w:asciiTheme="majorHAnsi" w:hAnsiTheme="majorHAnsi" w:cs="Arial"/>
          <w:b/>
          <w:sz w:val="20"/>
          <w:szCs w:val="20"/>
        </w:rPr>
        <w:id w:val="1952665551"/>
      </w:sdtPr>
      <w:sdtEndPr/>
      <w:sdtContent>
        <w:p w:rsidR="00CD2811" w:rsidRPr="00CD2811" w:rsidRDefault="00CD2811" w:rsidP="00CD281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D2811">
            <w:rPr>
              <w:rFonts w:asciiTheme="majorHAnsi" w:hAnsiTheme="majorHAnsi" w:cs="Arial"/>
              <w:b/>
              <w:sz w:val="20"/>
              <w:szCs w:val="20"/>
            </w:rPr>
            <w:t xml:space="preserve">Page </w:t>
          </w:r>
          <w:proofErr w:type="gramStart"/>
          <w:r w:rsidRPr="00CD2811">
            <w:rPr>
              <w:rFonts w:asciiTheme="majorHAnsi" w:hAnsiTheme="majorHAnsi" w:cs="Arial"/>
              <w:b/>
              <w:sz w:val="20"/>
              <w:szCs w:val="20"/>
            </w:rPr>
            <w:t>372  2015</w:t>
          </w:r>
          <w:proofErr w:type="gramEnd"/>
          <w:r w:rsidRPr="00CD2811">
            <w:rPr>
              <w:rFonts w:asciiTheme="majorHAnsi" w:hAnsiTheme="majorHAnsi" w:cs="Arial"/>
              <w:b/>
              <w:sz w:val="20"/>
              <w:szCs w:val="20"/>
            </w:rPr>
            <w:t>-2016 A-State Undergraduate Bulletin</w:t>
          </w:r>
        </w:p>
      </w:sdtContent>
    </w:sdt>
    <w:p w:rsidR="00CD2811" w:rsidRDefault="00CD2811" w:rsidP="00CD28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8"/>
          <w:szCs w:val="28"/>
        </w:rPr>
      </w:pPr>
    </w:p>
    <w:p w:rsidR="00CD2811" w:rsidRPr="00CD2811" w:rsidRDefault="00CD2811" w:rsidP="00CD2811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CD2811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Chemistry </w:t>
      </w:r>
    </w:p>
    <w:p w:rsidR="00CD2811" w:rsidRPr="00CD2811" w:rsidRDefault="00CD2811" w:rsidP="00CD2811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CD2811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</w:t>
      </w:r>
    </w:p>
    <w:p w:rsidR="00CD2811" w:rsidRPr="00CD2811" w:rsidRDefault="00CD2811" w:rsidP="00CD2811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CD2811">
        <w:rPr>
          <w:rFonts w:ascii="Arial" w:hAnsi="Arial" w:cs="Arial"/>
          <w:b/>
          <w:bCs/>
          <w:color w:val="221E1F"/>
          <w:sz w:val="16"/>
          <w:szCs w:val="16"/>
        </w:rPr>
        <w:t xml:space="preserve">Emphasis in Pre-Health Profession Studies </w:t>
      </w:r>
    </w:p>
    <w:p w:rsidR="00CD2811" w:rsidRPr="00CD2811" w:rsidRDefault="00CD2811" w:rsidP="00CD2811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CD2811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3002"/>
      </w:tblGrid>
      <w:tr w:rsidR="00CD2811" w:rsidRPr="00CD2811">
        <w:trPr>
          <w:trHeight w:val="111"/>
        </w:trPr>
        <w:tc>
          <w:tcPr>
            <w:tcW w:w="6003" w:type="dxa"/>
            <w:gridSpan w:val="2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CD2811" w:rsidRPr="00CD2811">
        <w:trPr>
          <w:trHeight w:val="79"/>
        </w:trPr>
        <w:tc>
          <w:tcPr>
            <w:tcW w:w="6003" w:type="dxa"/>
            <w:gridSpan w:val="2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PHSC 1003, Making Connections - Chemistry and Physics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512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83)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MATH 2204, Calculus I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CHEM 1013 </w:t>
            </w:r>
            <w:r w:rsidRPr="00CD2811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1011, General Chemistry I and Laboratory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BIO 2013 </w:t>
            </w:r>
            <w:r w:rsidRPr="00CD2811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2011, Biology of the Cell and Laboratory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Twelve hours of Social Sciences (Required Departmental Gen. Ed. Option)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36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CD2811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Language Requirement: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CD2811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Sem. Hrs. </w:t>
            </w:r>
          </w:p>
        </w:tc>
      </w:tr>
      <w:tr w:rsidR="00CD2811" w:rsidRPr="00CD2811">
        <w:trPr>
          <w:trHeight w:val="151"/>
        </w:trPr>
        <w:tc>
          <w:tcPr>
            <w:tcW w:w="6003" w:type="dxa"/>
            <w:gridSpan w:val="2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CD2811">
              <w:rPr>
                <w:rFonts w:ascii="Arial" w:hAnsi="Arial" w:cs="Arial"/>
                <w:i/>
                <w:iCs/>
                <w:strike/>
                <w:color w:val="FF0000"/>
                <w:sz w:val="28"/>
                <w:szCs w:val="28"/>
              </w:rPr>
              <w:t xml:space="preserve">A student must complete the foreign language requirements before being considered </w:t>
            </w:r>
            <w:proofErr w:type="gramStart"/>
            <w:r w:rsidRPr="00CD2811">
              <w:rPr>
                <w:rFonts w:ascii="Arial" w:hAnsi="Arial" w:cs="Arial"/>
                <w:i/>
                <w:iCs/>
                <w:strike/>
                <w:color w:val="FF0000"/>
                <w:sz w:val="28"/>
                <w:szCs w:val="28"/>
              </w:rPr>
              <w:t>a Chemistry</w:t>
            </w:r>
            <w:proofErr w:type="gramEnd"/>
            <w:r w:rsidRPr="00CD2811">
              <w:rPr>
                <w:rFonts w:ascii="Arial" w:hAnsi="Arial" w:cs="Arial"/>
                <w:i/>
                <w:iCs/>
                <w:strike/>
                <w:color w:val="FF0000"/>
                <w:sz w:val="28"/>
                <w:szCs w:val="28"/>
              </w:rPr>
              <w:t xml:space="preserve"> major. (Refer to p. 353 for foreign language requirements).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1023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1021, General Chemistry II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2002, Computers in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2004, Descriptive Inorganic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3054, Quantitative Analysis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3103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3101, Organic Chemistry I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3113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3111, Organic Chemistry II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3124, Physical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3134, Physical Chemistry II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4204, Inorganic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4224, Instrumentation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4243, Biochemistry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427V, Research in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4281, Chemistry Seminar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2214, Calculus II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3254, Calculus III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2034, University Physics 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2044, University Physics II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61 </w:t>
            </w:r>
          </w:p>
        </w:tc>
      </w:tr>
      <w:tr w:rsidR="00CD2811" w:rsidRPr="00CD2811">
        <w:trPr>
          <w:trHeight w:val="187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lastRenderedPageBreak/>
              <w:t xml:space="preserve">Emphasis Area (Pre-Health Profession Studies):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Six hours of the electives below must be upper-level.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BIO 1303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1301, Biology of Animals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Biology Electives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8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12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Electives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8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120</w:t>
            </w:r>
          </w:p>
        </w:tc>
      </w:tr>
    </w:tbl>
    <w:p w:rsidR="00CD2811" w:rsidRDefault="00CD2811" w:rsidP="00CD28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8"/>
          <w:szCs w:val="28"/>
        </w:rPr>
      </w:pPr>
    </w:p>
    <w:p w:rsidR="00CD2811" w:rsidRDefault="00CD2811">
      <w:pPr>
        <w:rPr>
          <w:rFonts w:asciiTheme="majorHAnsi" w:hAnsiTheme="majorHAnsi" w:cs="Arial"/>
          <w:color w:val="FF0000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br w:type="page"/>
      </w:r>
    </w:p>
    <w:sdt>
      <w:sdtPr>
        <w:rPr>
          <w:rFonts w:asciiTheme="majorHAnsi" w:hAnsiTheme="majorHAnsi" w:cs="Arial"/>
          <w:b/>
          <w:sz w:val="20"/>
          <w:szCs w:val="20"/>
        </w:rPr>
        <w:id w:val="1871415634"/>
      </w:sdtPr>
      <w:sdtEndPr/>
      <w:sdtContent>
        <w:p w:rsidR="00CD2811" w:rsidRPr="00CD2811" w:rsidRDefault="00CD2811" w:rsidP="00CD281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D2811">
            <w:rPr>
              <w:rFonts w:asciiTheme="majorHAnsi" w:hAnsiTheme="majorHAnsi" w:cs="Arial"/>
              <w:b/>
              <w:sz w:val="20"/>
              <w:szCs w:val="20"/>
            </w:rPr>
            <w:t xml:space="preserve">Page </w:t>
          </w:r>
          <w:proofErr w:type="gramStart"/>
          <w:r w:rsidRPr="00CD2811">
            <w:rPr>
              <w:rFonts w:asciiTheme="majorHAnsi" w:hAnsiTheme="majorHAnsi" w:cs="Arial"/>
              <w:b/>
              <w:sz w:val="20"/>
              <w:szCs w:val="20"/>
            </w:rPr>
            <w:t>373  2015</w:t>
          </w:r>
          <w:proofErr w:type="gramEnd"/>
          <w:r w:rsidRPr="00CD2811">
            <w:rPr>
              <w:rFonts w:asciiTheme="majorHAnsi" w:hAnsiTheme="majorHAnsi" w:cs="Arial"/>
              <w:b/>
              <w:sz w:val="20"/>
              <w:szCs w:val="20"/>
            </w:rPr>
            <w:t>-2016 A-State Undergraduate Bulletin</w:t>
          </w:r>
        </w:p>
      </w:sdtContent>
    </w:sdt>
    <w:p w:rsidR="00CD2811" w:rsidRDefault="00CD2811" w:rsidP="00CD28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8"/>
          <w:szCs w:val="28"/>
        </w:rPr>
      </w:pPr>
    </w:p>
    <w:p w:rsidR="00CD2811" w:rsidRPr="00CD2811" w:rsidRDefault="00CD2811" w:rsidP="00CD2811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CD2811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Chemistry </w:t>
      </w:r>
    </w:p>
    <w:p w:rsidR="00CD2811" w:rsidRPr="00CD2811" w:rsidRDefault="00CD2811" w:rsidP="00CD2811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CD2811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Arts </w:t>
      </w:r>
    </w:p>
    <w:p w:rsidR="00CD2811" w:rsidRPr="00CD2811" w:rsidRDefault="00CD2811" w:rsidP="00CD2811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CD2811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3002"/>
      </w:tblGrid>
      <w:tr w:rsidR="00CD2811" w:rsidRPr="00CD2811">
        <w:trPr>
          <w:trHeight w:val="111"/>
        </w:trPr>
        <w:tc>
          <w:tcPr>
            <w:tcW w:w="6003" w:type="dxa"/>
            <w:gridSpan w:val="2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CD2811" w:rsidRPr="00CD2811">
        <w:trPr>
          <w:trHeight w:val="79"/>
        </w:trPr>
        <w:tc>
          <w:tcPr>
            <w:tcW w:w="6003" w:type="dxa"/>
            <w:gridSpan w:val="2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PHSC 1003, Making Connections - Chemistry and Physics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512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83)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MATH 2204, Calculus I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CHEM 1013 </w:t>
            </w:r>
            <w:r w:rsidRPr="00CD2811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1011, General Chemistry I and Laboratory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BIO 2013 </w:t>
            </w:r>
            <w:r w:rsidRPr="00CD2811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2011, Biology of the Cell and Laboratory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Twelve hours of Social Sciences (Required Departmental Gen. Ed. Option)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36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CD2811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Language Requirement: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AE7940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Sem. Hrs.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AE7940">
              <w:rPr>
                <w:rFonts w:ascii="Arial" w:hAnsi="Arial" w:cs="Arial"/>
                <w:i/>
                <w:iCs/>
                <w:strike/>
                <w:color w:val="FF0000"/>
                <w:sz w:val="28"/>
                <w:szCs w:val="28"/>
              </w:rPr>
              <w:t xml:space="preserve">(Refer to p. 353 for foreign language requirements).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AE7940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t xml:space="preserve">0-12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1023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1021, General Chemistry II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2004, Descriptive Inorganic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3054, Quantitative Analysis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3103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3101, Organic Chemistry I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3113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3111, Organic Chemistry II and Laboratory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3154, Survey of Physical 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CD2811" w:rsidRPr="00CD2811">
        <w:trPr>
          <w:trHeight w:val="79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4243, Biochemistry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CD2811" w:rsidRPr="00CD2811">
        <w:trPr>
          <w:trHeight w:val="296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2054, General Physics I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2064 General Physics II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2034, University Physics I </w:t>
            </w: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2044, University Physics II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color w:val="221E1F"/>
                <w:sz w:val="12"/>
                <w:szCs w:val="12"/>
              </w:rPr>
              <w:t xml:space="preserve">8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CD2811" w:rsidRPr="00CD2811">
        <w:trPr>
          <w:trHeight w:val="187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Twenty-six hours of the electives below must be upper-level.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CD2811" w:rsidRPr="00CD2811">
        <w:trPr>
          <w:trHeight w:val="83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28"/>
                <w:szCs w:val="28"/>
              </w:rPr>
            </w:pPr>
            <w:r w:rsidRPr="00AE7940">
              <w:rPr>
                <w:rFonts w:ascii="Arial" w:hAnsi="Arial" w:cs="Arial"/>
                <w:color w:val="221E1F"/>
                <w:sz w:val="28"/>
                <w:szCs w:val="28"/>
              </w:rPr>
              <w:t xml:space="preserve">Electives </w:t>
            </w:r>
          </w:p>
        </w:tc>
        <w:tc>
          <w:tcPr>
            <w:tcW w:w="3001" w:type="dxa"/>
          </w:tcPr>
          <w:p w:rsidR="00CD2811" w:rsidRPr="00CD2811" w:rsidRDefault="00AE7940" w:rsidP="00CD281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28"/>
                <w:szCs w:val="28"/>
              </w:rPr>
            </w:pPr>
            <w:r w:rsidRPr="00AE7940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  </w:t>
            </w:r>
            <w:r w:rsidR="00CD2811" w:rsidRPr="00AE7940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>34-</w:t>
            </w:r>
            <w:r w:rsidRPr="00AE794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E7940">
              <w:rPr>
                <w:rFonts w:ascii="Arial" w:hAnsi="Arial" w:cs="Arial"/>
                <w:b/>
                <w:bCs/>
                <w:color w:val="221E1F"/>
                <w:sz w:val="28"/>
                <w:szCs w:val="28"/>
              </w:rPr>
              <w:t xml:space="preserve"> </w:t>
            </w:r>
            <w:r w:rsidR="00CD2811" w:rsidRPr="00AE7940">
              <w:rPr>
                <w:rFonts w:ascii="Arial" w:hAnsi="Arial" w:cs="Arial"/>
                <w:b/>
                <w:bCs/>
                <w:color w:val="221E1F"/>
                <w:sz w:val="28"/>
                <w:szCs w:val="28"/>
              </w:rPr>
              <w:t xml:space="preserve">46 </w:t>
            </w:r>
          </w:p>
        </w:tc>
      </w:tr>
      <w:tr w:rsidR="00CD2811" w:rsidRPr="00CD2811">
        <w:trPr>
          <w:trHeight w:val="111"/>
        </w:trPr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01" w:type="dxa"/>
          </w:tcPr>
          <w:p w:rsidR="00CD2811" w:rsidRPr="00CD2811" w:rsidRDefault="00CD2811" w:rsidP="00CD2811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CD2811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120</w:t>
            </w:r>
          </w:p>
        </w:tc>
      </w:tr>
    </w:tbl>
    <w:p w:rsidR="00AE7940" w:rsidRDefault="00AE7940" w:rsidP="00CD28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8"/>
          <w:szCs w:val="28"/>
        </w:rPr>
      </w:pPr>
    </w:p>
    <w:p w:rsidR="00AE7940" w:rsidRDefault="00AE7940">
      <w:pPr>
        <w:rPr>
          <w:rFonts w:asciiTheme="majorHAnsi" w:hAnsiTheme="majorHAnsi" w:cs="Arial"/>
          <w:color w:val="FF0000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br w:type="page"/>
      </w:r>
    </w:p>
    <w:sdt>
      <w:sdtPr>
        <w:rPr>
          <w:rFonts w:asciiTheme="majorHAnsi" w:hAnsiTheme="majorHAnsi" w:cs="Arial"/>
          <w:b/>
          <w:sz w:val="20"/>
          <w:szCs w:val="20"/>
        </w:rPr>
        <w:id w:val="-688297193"/>
      </w:sdtPr>
      <w:sdtEndPr/>
      <w:sdtContent>
        <w:p w:rsidR="00AE7940" w:rsidRPr="00CD2811" w:rsidRDefault="00AE7940" w:rsidP="00AE794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D2811">
            <w:rPr>
              <w:rFonts w:asciiTheme="majorHAnsi" w:hAnsiTheme="majorHAnsi" w:cs="Arial"/>
              <w:b/>
              <w:sz w:val="20"/>
              <w:szCs w:val="20"/>
            </w:rPr>
            <w:t xml:space="preserve">Page </w:t>
          </w:r>
          <w:proofErr w:type="gramStart"/>
          <w:r w:rsidRPr="00CD2811">
            <w:rPr>
              <w:rFonts w:asciiTheme="majorHAnsi" w:hAnsiTheme="majorHAnsi" w:cs="Arial"/>
              <w:b/>
              <w:sz w:val="20"/>
              <w:szCs w:val="20"/>
            </w:rPr>
            <w:t>37</w:t>
          </w:r>
          <w:r>
            <w:rPr>
              <w:rFonts w:asciiTheme="majorHAnsi" w:hAnsiTheme="majorHAnsi" w:cs="Arial"/>
              <w:b/>
              <w:sz w:val="20"/>
              <w:szCs w:val="20"/>
            </w:rPr>
            <w:t>4</w:t>
          </w:r>
          <w:r w:rsidRPr="00CD2811">
            <w:rPr>
              <w:rFonts w:asciiTheme="majorHAnsi" w:hAnsiTheme="majorHAnsi" w:cs="Arial"/>
              <w:b/>
              <w:sz w:val="20"/>
              <w:szCs w:val="20"/>
            </w:rPr>
            <w:t xml:space="preserve">  2015</w:t>
          </w:r>
          <w:proofErr w:type="gramEnd"/>
          <w:r w:rsidRPr="00CD2811">
            <w:rPr>
              <w:rFonts w:asciiTheme="majorHAnsi" w:hAnsiTheme="majorHAnsi" w:cs="Arial"/>
              <w:b/>
              <w:sz w:val="20"/>
              <w:szCs w:val="20"/>
            </w:rPr>
            <w:t>-2016 A-State Undergraduate Bulletin</w:t>
          </w:r>
        </w:p>
      </w:sdtContent>
    </w:sdt>
    <w:p w:rsidR="00CD2811" w:rsidRDefault="00CD2811" w:rsidP="00CD28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8"/>
          <w:szCs w:val="28"/>
        </w:rPr>
      </w:pPr>
    </w:p>
    <w:p w:rsidR="00AE7940" w:rsidRPr="00AE7940" w:rsidRDefault="00AE7940" w:rsidP="00AE7940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AE7940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Chemistry </w:t>
      </w:r>
    </w:p>
    <w:p w:rsidR="00AE7940" w:rsidRPr="00AE7940" w:rsidRDefault="00AE7940" w:rsidP="00AE7940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AE7940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Arts </w:t>
      </w:r>
    </w:p>
    <w:p w:rsidR="00AE7940" w:rsidRPr="00AE7940" w:rsidRDefault="00AE7940" w:rsidP="00AE7940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AE7940">
        <w:rPr>
          <w:rFonts w:ascii="Arial" w:hAnsi="Arial" w:cs="Arial"/>
          <w:b/>
          <w:bCs/>
          <w:color w:val="221E1F"/>
          <w:sz w:val="16"/>
          <w:szCs w:val="16"/>
        </w:rPr>
        <w:t xml:space="preserve">Emphasis in Pre-pharmacy </w:t>
      </w:r>
    </w:p>
    <w:p w:rsidR="00AE7940" w:rsidRPr="00AE7940" w:rsidRDefault="00AE7940" w:rsidP="00AE7940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AE7940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3002"/>
      </w:tblGrid>
      <w:tr w:rsidR="00AE7940" w:rsidRPr="00AE7940">
        <w:trPr>
          <w:trHeight w:val="111"/>
        </w:trPr>
        <w:tc>
          <w:tcPr>
            <w:tcW w:w="6003" w:type="dxa"/>
            <w:gridSpan w:val="2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AE7940" w:rsidRPr="00AE7940">
        <w:trPr>
          <w:trHeight w:val="79"/>
        </w:trPr>
        <w:tc>
          <w:tcPr>
            <w:tcW w:w="6003" w:type="dxa"/>
            <w:gridSpan w:val="2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AE7940" w:rsidRPr="00AE7940">
        <w:trPr>
          <w:trHeight w:val="111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E7940" w:rsidRPr="00AE7940">
        <w:trPr>
          <w:trHeight w:val="83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PHSC 1003, Making Connections - Chemistry and Physics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AE7940" w:rsidRPr="00AE7940">
        <w:trPr>
          <w:trHeight w:val="111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E7940" w:rsidRPr="00AE7940">
        <w:trPr>
          <w:trHeight w:val="584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83)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MATH 2204, Calculus I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CHEM 1013 </w:t>
            </w:r>
            <w:r w:rsidRPr="00AE7940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AE794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1011, General Chemistry I and Laboratory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BIO 2013 </w:t>
            </w:r>
            <w:r w:rsidRPr="00AE7940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AE794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2011, Biology of the Cell and Laboratory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ECON 2313, Principles of Macroeconomics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Twelve hours of Social Sciences (Required Departmental Gen. Ed. Option)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36 </w:t>
            </w:r>
          </w:p>
        </w:tc>
      </w:tr>
      <w:tr w:rsidR="00AE7940" w:rsidRPr="00AE7940">
        <w:trPr>
          <w:trHeight w:val="111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AE7940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Language Requirement: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AE7940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Sem. Hrs. </w:t>
            </w:r>
          </w:p>
        </w:tc>
      </w:tr>
      <w:tr w:rsidR="00AE7940" w:rsidRPr="00AE7940">
        <w:trPr>
          <w:trHeight w:val="79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AE7940">
              <w:rPr>
                <w:rFonts w:ascii="Arial" w:hAnsi="Arial" w:cs="Arial"/>
                <w:i/>
                <w:iCs/>
                <w:strike/>
                <w:color w:val="FF0000"/>
                <w:sz w:val="28"/>
                <w:szCs w:val="28"/>
              </w:rPr>
              <w:t xml:space="preserve">(Refer to p. 353 for foreign language requirements).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  <w:r w:rsidRPr="00AE7940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t xml:space="preserve">0-12 </w:t>
            </w:r>
          </w:p>
        </w:tc>
      </w:tr>
      <w:tr w:rsidR="00AE7940" w:rsidRPr="00AE7940">
        <w:trPr>
          <w:trHeight w:val="111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E7940" w:rsidRPr="00AE7940">
        <w:trPr>
          <w:trHeight w:val="83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1023 </w:t>
            </w: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1021, General Chemistry II and Laboratory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E7940" w:rsidRPr="00AE7940">
        <w:trPr>
          <w:trHeight w:val="79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2004, Descriptive Inorganic Chemistry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E7940" w:rsidRPr="00AE7940">
        <w:trPr>
          <w:trHeight w:val="79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3054, Quantitative Analysis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E7940" w:rsidRPr="00AE7940">
        <w:trPr>
          <w:trHeight w:val="83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3103 </w:t>
            </w: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3101, Organic Chemistry I and Laboratory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E7940" w:rsidRPr="00AE7940">
        <w:trPr>
          <w:trHeight w:val="83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3113 </w:t>
            </w: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3111, Organic Chemistry II and Laboratory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E7940" w:rsidRPr="00AE7940">
        <w:trPr>
          <w:trHeight w:val="79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3154, Survey of Physical Chemistry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E7940" w:rsidRPr="00AE7940">
        <w:trPr>
          <w:trHeight w:val="79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4243, Biochemistry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E7940" w:rsidRPr="00AE7940">
        <w:trPr>
          <w:trHeight w:val="296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2054, General Physics I </w:t>
            </w: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2064 General Physics II </w:t>
            </w: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2034, University Physics I </w:t>
            </w: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2044, University Physics II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8 </w:t>
            </w:r>
          </w:p>
        </w:tc>
      </w:tr>
      <w:tr w:rsidR="00AE7940" w:rsidRPr="00AE7940">
        <w:trPr>
          <w:trHeight w:val="83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AE7940" w:rsidRPr="00AE7940">
        <w:trPr>
          <w:trHeight w:val="111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Emphasis Area (Pre-pharmacy):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E7940" w:rsidRPr="00AE7940">
        <w:trPr>
          <w:trHeight w:val="83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BIO 1303 </w:t>
            </w: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1301, Biology of Animals and Laboratory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E7940" w:rsidRPr="00AE7940">
        <w:trPr>
          <w:trHeight w:val="79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4104, Microbiology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E7940" w:rsidRPr="00AE7940">
        <w:trPr>
          <w:trHeight w:val="83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8 </w:t>
            </w:r>
          </w:p>
        </w:tc>
      </w:tr>
      <w:tr w:rsidR="00AE7940" w:rsidRPr="00AE7940">
        <w:trPr>
          <w:trHeight w:val="187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Twenty-two hours of the electives below must be </w:t>
            </w:r>
            <w:r w:rsidRPr="00AE7940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lastRenderedPageBreak/>
              <w:t xml:space="preserve">upper-level.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lastRenderedPageBreak/>
              <w:t xml:space="preserve">Sem. Hrs. </w:t>
            </w:r>
          </w:p>
        </w:tc>
      </w:tr>
      <w:tr w:rsidR="00AE7940" w:rsidRPr="00AE7940">
        <w:trPr>
          <w:trHeight w:val="83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28"/>
                <w:szCs w:val="28"/>
              </w:rPr>
            </w:pPr>
            <w:r w:rsidRPr="00AE7940">
              <w:rPr>
                <w:rFonts w:ascii="Arial" w:hAnsi="Arial" w:cs="Arial"/>
                <w:color w:val="221E1F"/>
                <w:sz w:val="28"/>
                <w:szCs w:val="28"/>
              </w:rPr>
              <w:lastRenderedPageBreak/>
              <w:t xml:space="preserve">Electives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28"/>
                <w:szCs w:val="28"/>
              </w:rPr>
            </w:pPr>
            <w:r w:rsidRPr="00AE7940"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8"/>
              </w:rPr>
              <w:t xml:space="preserve">  26 -</w:t>
            </w:r>
            <w:r w:rsidRPr="00AE794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AE7940">
              <w:rPr>
                <w:rFonts w:ascii="Arial" w:hAnsi="Arial" w:cs="Arial"/>
                <w:b/>
                <w:bCs/>
                <w:color w:val="221E1F"/>
                <w:sz w:val="28"/>
                <w:szCs w:val="28"/>
              </w:rPr>
              <w:t xml:space="preserve">38 </w:t>
            </w:r>
          </w:p>
        </w:tc>
      </w:tr>
      <w:tr w:rsidR="00AE7940" w:rsidRPr="00AE7940">
        <w:trPr>
          <w:trHeight w:val="111"/>
        </w:trPr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01" w:type="dxa"/>
          </w:tcPr>
          <w:p w:rsidR="00AE7940" w:rsidRPr="00AE7940" w:rsidRDefault="00AE7940" w:rsidP="00AE794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E7940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120</w:t>
            </w:r>
          </w:p>
        </w:tc>
      </w:tr>
    </w:tbl>
    <w:p w:rsidR="00AE7940" w:rsidRDefault="00AE7940" w:rsidP="00CD28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8"/>
          <w:szCs w:val="28"/>
        </w:rPr>
      </w:pPr>
    </w:p>
    <w:sectPr w:rsidR="00AE7940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C2" w:rsidRDefault="007E72C2" w:rsidP="00AF3758">
      <w:pPr>
        <w:spacing w:after="0" w:line="240" w:lineRule="auto"/>
      </w:pPr>
      <w:r>
        <w:separator/>
      </w:r>
    </w:p>
  </w:endnote>
  <w:endnote w:type="continuationSeparator" w:id="0">
    <w:p w:rsidR="007E72C2" w:rsidRDefault="007E72C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C2" w:rsidRDefault="007E72C2" w:rsidP="00AF3758">
      <w:pPr>
        <w:spacing w:after="0" w:line="240" w:lineRule="auto"/>
      </w:pPr>
      <w:r>
        <w:separator/>
      </w:r>
    </w:p>
  </w:footnote>
  <w:footnote w:type="continuationSeparator" w:id="0">
    <w:p w:rsidR="007E72C2" w:rsidRDefault="007E72C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81C34"/>
    <w:rsid w:val="000A7C2E"/>
    <w:rsid w:val="000D06F1"/>
    <w:rsid w:val="000F3620"/>
    <w:rsid w:val="00100FDE"/>
    <w:rsid w:val="00103070"/>
    <w:rsid w:val="0014025C"/>
    <w:rsid w:val="00151451"/>
    <w:rsid w:val="00152424"/>
    <w:rsid w:val="00177EED"/>
    <w:rsid w:val="0018269B"/>
    <w:rsid w:val="00185D67"/>
    <w:rsid w:val="001A5DD5"/>
    <w:rsid w:val="001C6A1A"/>
    <w:rsid w:val="001F5E9E"/>
    <w:rsid w:val="00212A76"/>
    <w:rsid w:val="0022350B"/>
    <w:rsid w:val="002315B0"/>
    <w:rsid w:val="00254447"/>
    <w:rsid w:val="002569DB"/>
    <w:rsid w:val="00261ACE"/>
    <w:rsid w:val="00265C17"/>
    <w:rsid w:val="002776C2"/>
    <w:rsid w:val="002E2D03"/>
    <w:rsid w:val="002E3FC9"/>
    <w:rsid w:val="003328F3"/>
    <w:rsid w:val="00333E65"/>
    <w:rsid w:val="00346F5C"/>
    <w:rsid w:val="00362414"/>
    <w:rsid w:val="00374D72"/>
    <w:rsid w:val="00384538"/>
    <w:rsid w:val="0039532B"/>
    <w:rsid w:val="003A05F4"/>
    <w:rsid w:val="003A09B6"/>
    <w:rsid w:val="003C0ED1"/>
    <w:rsid w:val="00400712"/>
    <w:rsid w:val="004072F1"/>
    <w:rsid w:val="00473252"/>
    <w:rsid w:val="004745B5"/>
    <w:rsid w:val="00487771"/>
    <w:rsid w:val="00492F7C"/>
    <w:rsid w:val="004A7706"/>
    <w:rsid w:val="004E5007"/>
    <w:rsid w:val="004F3C87"/>
    <w:rsid w:val="00504BCC"/>
    <w:rsid w:val="00515205"/>
    <w:rsid w:val="00526B81"/>
    <w:rsid w:val="00570DC7"/>
    <w:rsid w:val="00584C22"/>
    <w:rsid w:val="00592A95"/>
    <w:rsid w:val="006179CB"/>
    <w:rsid w:val="00636DB3"/>
    <w:rsid w:val="006657FB"/>
    <w:rsid w:val="00665918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2C7A"/>
    <w:rsid w:val="007A06B9"/>
    <w:rsid w:val="007E72C2"/>
    <w:rsid w:val="0083170D"/>
    <w:rsid w:val="00873166"/>
    <w:rsid w:val="008A795D"/>
    <w:rsid w:val="008B5CD1"/>
    <w:rsid w:val="008C703B"/>
    <w:rsid w:val="008E6C1C"/>
    <w:rsid w:val="00973B07"/>
    <w:rsid w:val="00995206"/>
    <w:rsid w:val="009A529F"/>
    <w:rsid w:val="009A5510"/>
    <w:rsid w:val="009D40B2"/>
    <w:rsid w:val="009E1AA5"/>
    <w:rsid w:val="00A01035"/>
    <w:rsid w:val="00A0329C"/>
    <w:rsid w:val="00A16BB1"/>
    <w:rsid w:val="00A27B50"/>
    <w:rsid w:val="00A34100"/>
    <w:rsid w:val="00A5089E"/>
    <w:rsid w:val="00A56D36"/>
    <w:rsid w:val="00AB5523"/>
    <w:rsid w:val="00AE066D"/>
    <w:rsid w:val="00AE7940"/>
    <w:rsid w:val="00AF20FF"/>
    <w:rsid w:val="00AF3758"/>
    <w:rsid w:val="00AF3C6A"/>
    <w:rsid w:val="00B1628A"/>
    <w:rsid w:val="00B24848"/>
    <w:rsid w:val="00B35368"/>
    <w:rsid w:val="00B62C13"/>
    <w:rsid w:val="00B93F23"/>
    <w:rsid w:val="00BD2A0D"/>
    <w:rsid w:val="00BE069E"/>
    <w:rsid w:val="00C12816"/>
    <w:rsid w:val="00C132F9"/>
    <w:rsid w:val="00C23CC7"/>
    <w:rsid w:val="00C334FF"/>
    <w:rsid w:val="00C35D32"/>
    <w:rsid w:val="00C64A82"/>
    <w:rsid w:val="00C723B8"/>
    <w:rsid w:val="00C92FE6"/>
    <w:rsid w:val="00CA6230"/>
    <w:rsid w:val="00CA6CDA"/>
    <w:rsid w:val="00CB7BCA"/>
    <w:rsid w:val="00CD2811"/>
    <w:rsid w:val="00D0686A"/>
    <w:rsid w:val="00D51205"/>
    <w:rsid w:val="00D5642F"/>
    <w:rsid w:val="00D57716"/>
    <w:rsid w:val="00D654AF"/>
    <w:rsid w:val="00D67AC4"/>
    <w:rsid w:val="00D72E20"/>
    <w:rsid w:val="00D76DEE"/>
    <w:rsid w:val="00D979DD"/>
    <w:rsid w:val="00DA3F9B"/>
    <w:rsid w:val="00DB3983"/>
    <w:rsid w:val="00DF2388"/>
    <w:rsid w:val="00E45868"/>
    <w:rsid w:val="00EB4FF5"/>
    <w:rsid w:val="00EC6970"/>
    <w:rsid w:val="00EC7AA8"/>
    <w:rsid w:val="00EE55A2"/>
    <w:rsid w:val="00EF2A44"/>
    <w:rsid w:val="00F645B5"/>
    <w:rsid w:val="00F75657"/>
    <w:rsid w:val="00F87993"/>
    <w:rsid w:val="00F92F85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6">
    <w:name w:val="Pa246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569DB"/>
    <w:rPr>
      <w:rFonts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569DB"/>
    <w:rPr>
      <w:rFonts w:ascii="Arial" w:hAnsi="Arial" w:cs="Arial"/>
      <w:b/>
      <w:bCs/>
      <w:color w:val="221E1F"/>
      <w:sz w:val="16"/>
      <w:szCs w:val="16"/>
    </w:rPr>
  </w:style>
  <w:style w:type="paragraph" w:customStyle="1" w:styleId="Pa233">
    <w:name w:val="Pa23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2569DB"/>
    <w:rPr>
      <w:rFonts w:ascii="Arial" w:hAnsi="Arial" w:cs="Arial"/>
      <w:b/>
      <w:bCs/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7">
    <w:name w:val="Pa237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5">
    <w:name w:val="Pa255"/>
    <w:basedOn w:val="Normal"/>
    <w:next w:val="Normal"/>
    <w:uiPriority w:val="99"/>
    <w:rsid w:val="00C92FE6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8">
    <w:name w:val="A18"/>
    <w:uiPriority w:val="99"/>
    <w:rsid w:val="00C92FE6"/>
    <w:rPr>
      <w:rFonts w:cs="Myriad Pro Cond"/>
      <w:b/>
      <w:bCs/>
      <w:color w:val="221E1F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C92F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C92F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Default">
    <w:name w:val="Default"/>
    <w:rsid w:val="00570DC7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570DC7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570DC7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70DC7"/>
    <w:pPr>
      <w:spacing w:line="201" w:lineRule="atLeast"/>
    </w:pPr>
    <w:rPr>
      <w:rFonts w:cstheme="minorBidi"/>
      <w:color w:val="auto"/>
    </w:rPr>
  </w:style>
  <w:style w:type="paragraph" w:customStyle="1" w:styleId="Pa406">
    <w:name w:val="Pa406"/>
    <w:basedOn w:val="Default"/>
    <w:next w:val="Default"/>
    <w:uiPriority w:val="99"/>
    <w:rsid w:val="00570DC7"/>
    <w:pPr>
      <w:spacing w:line="241" w:lineRule="atLeast"/>
    </w:pPr>
    <w:rPr>
      <w:rFonts w:cstheme="minorBidi"/>
      <w:color w:val="auto"/>
    </w:rPr>
  </w:style>
  <w:style w:type="paragraph" w:customStyle="1" w:styleId="Pa413">
    <w:name w:val="Pa413"/>
    <w:basedOn w:val="Default"/>
    <w:next w:val="Default"/>
    <w:uiPriority w:val="99"/>
    <w:rsid w:val="00570DC7"/>
    <w:pPr>
      <w:spacing w:line="241" w:lineRule="atLeast"/>
    </w:pPr>
    <w:rPr>
      <w:rFonts w:cstheme="minorBidi"/>
      <w:color w:val="auto"/>
    </w:rPr>
  </w:style>
  <w:style w:type="paragraph" w:customStyle="1" w:styleId="Pa258">
    <w:name w:val="Pa258"/>
    <w:basedOn w:val="Default"/>
    <w:next w:val="Default"/>
    <w:uiPriority w:val="99"/>
    <w:rsid w:val="00CD2811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6">
    <w:name w:val="Pa246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569DB"/>
    <w:rPr>
      <w:rFonts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569DB"/>
    <w:rPr>
      <w:rFonts w:ascii="Arial" w:hAnsi="Arial" w:cs="Arial"/>
      <w:b/>
      <w:bCs/>
      <w:color w:val="221E1F"/>
      <w:sz w:val="16"/>
      <w:szCs w:val="16"/>
    </w:rPr>
  </w:style>
  <w:style w:type="paragraph" w:customStyle="1" w:styleId="Pa233">
    <w:name w:val="Pa233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2569DB"/>
    <w:rPr>
      <w:rFonts w:ascii="Arial" w:hAnsi="Arial" w:cs="Arial"/>
      <w:b/>
      <w:bCs/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7">
    <w:name w:val="Pa237"/>
    <w:basedOn w:val="Normal"/>
    <w:next w:val="Normal"/>
    <w:uiPriority w:val="99"/>
    <w:rsid w:val="002569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2569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5">
    <w:name w:val="Pa255"/>
    <w:basedOn w:val="Normal"/>
    <w:next w:val="Normal"/>
    <w:uiPriority w:val="99"/>
    <w:rsid w:val="00C92FE6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8">
    <w:name w:val="A18"/>
    <w:uiPriority w:val="99"/>
    <w:rsid w:val="00C92FE6"/>
    <w:rPr>
      <w:rFonts w:cs="Myriad Pro Cond"/>
      <w:b/>
      <w:bCs/>
      <w:color w:val="221E1F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C92F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C92F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Default">
    <w:name w:val="Default"/>
    <w:rsid w:val="00570DC7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570DC7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570DC7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70DC7"/>
    <w:pPr>
      <w:spacing w:line="201" w:lineRule="atLeast"/>
    </w:pPr>
    <w:rPr>
      <w:rFonts w:cstheme="minorBidi"/>
      <w:color w:val="auto"/>
    </w:rPr>
  </w:style>
  <w:style w:type="paragraph" w:customStyle="1" w:styleId="Pa406">
    <w:name w:val="Pa406"/>
    <w:basedOn w:val="Default"/>
    <w:next w:val="Default"/>
    <w:uiPriority w:val="99"/>
    <w:rsid w:val="00570DC7"/>
    <w:pPr>
      <w:spacing w:line="241" w:lineRule="atLeast"/>
    </w:pPr>
    <w:rPr>
      <w:rFonts w:cstheme="minorBidi"/>
      <w:color w:val="auto"/>
    </w:rPr>
  </w:style>
  <w:style w:type="paragraph" w:customStyle="1" w:styleId="Pa413">
    <w:name w:val="Pa413"/>
    <w:basedOn w:val="Default"/>
    <w:next w:val="Default"/>
    <w:uiPriority w:val="99"/>
    <w:rsid w:val="00570DC7"/>
    <w:pPr>
      <w:spacing w:line="241" w:lineRule="atLeast"/>
    </w:pPr>
    <w:rPr>
      <w:rFonts w:cstheme="minorBidi"/>
      <w:color w:val="auto"/>
    </w:rPr>
  </w:style>
  <w:style w:type="paragraph" w:customStyle="1" w:styleId="Pa258">
    <w:name w:val="Pa258"/>
    <w:basedOn w:val="Default"/>
    <w:next w:val="Default"/>
    <w:uiPriority w:val="99"/>
    <w:rsid w:val="00CD281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burns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D4952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47BD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2015-11-20T20:14:00Z</dcterms:created>
  <dcterms:modified xsi:type="dcterms:W3CDTF">2015-11-20T20:14:00Z</dcterms:modified>
</cp:coreProperties>
</file>